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925C" w14:textId="5751110C" w:rsidR="000054F8" w:rsidRPr="000054F8" w:rsidRDefault="000054F8" w:rsidP="00CC548B">
      <w:pPr>
        <w:pStyle w:val="ListParagraph"/>
        <w:numPr>
          <w:ilvl w:val="0"/>
          <w:numId w:val="2"/>
        </w:numPr>
        <w:tabs>
          <w:tab w:val="left" w:pos="426"/>
        </w:tabs>
        <w:ind w:left="425" w:right="6" w:hanging="425"/>
        <w:jc w:val="both"/>
        <w:rPr>
          <w:lang w:val="en-US"/>
        </w:rPr>
      </w:pPr>
      <w:r w:rsidRPr="000054F8">
        <w:rPr>
          <w:lang w:val="en-US"/>
        </w:rPr>
        <w:t>On 29 January 2020, a public health emergency was declared for all of Queensland under the</w:t>
      </w:r>
      <w:r w:rsidR="007062B7">
        <w:rPr>
          <w:lang w:val="en-US"/>
        </w:rPr>
        <w:t xml:space="preserve"> </w:t>
      </w:r>
      <w:r w:rsidRPr="000054F8">
        <w:rPr>
          <w:i/>
          <w:iCs/>
          <w:lang w:val="en-US"/>
        </w:rPr>
        <w:t xml:space="preserve">Public Health Act 2005 </w:t>
      </w:r>
      <w:r w:rsidRPr="000054F8">
        <w:rPr>
          <w:lang w:val="en-US"/>
        </w:rPr>
        <w:t xml:space="preserve">(PH Act) in relation to the outbreak of COVID-19. </w:t>
      </w:r>
    </w:p>
    <w:p w14:paraId="74C535FE" w14:textId="3C2B4668" w:rsidR="000054F8" w:rsidRDefault="001E3F95" w:rsidP="00CC548B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</w:pPr>
      <w:r>
        <w:t xml:space="preserve">The </w:t>
      </w:r>
      <w:r w:rsidRPr="00E20A0A">
        <w:rPr>
          <w:i/>
          <w:iCs/>
        </w:rPr>
        <w:t>COVID-19 Emergency Response Act 2020</w:t>
      </w:r>
      <w:r>
        <w:t xml:space="preserve"> and the </w:t>
      </w:r>
      <w:r w:rsidRPr="00E20A0A">
        <w:rPr>
          <w:i/>
          <w:iCs/>
        </w:rPr>
        <w:t>Justice and Other Legislation (COVID-19 Emergency Response) Amendment Act 2020</w:t>
      </w:r>
      <w:r>
        <w:t xml:space="preserve"> </w:t>
      </w:r>
      <w:r w:rsidR="00BA78D3" w:rsidRPr="00E20A0A">
        <w:rPr>
          <w:lang w:val="en-US"/>
        </w:rPr>
        <w:t xml:space="preserve">were </w:t>
      </w:r>
      <w:r w:rsidR="00CC0C95">
        <w:rPr>
          <w:lang w:val="en-US"/>
        </w:rPr>
        <w:t>introduced</w:t>
      </w:r>
      <w:r w:rsidR="00BA78D3" w:rsidRPr="00E20A0A">
        <w:rPr>
          <w:lang w:val="en-US"/>
        </w:rPr>
        <w:t xml:space="preserve"> to protect the health, safety and welfare of Queenslanders, mitigate the spread of COVID-19 in the community, and facilitate the continued functioning of Queensland institutions and economy to the extent possible</w:t>
      </w:r>
      <w:r w:rsidR="00E20A0A">
        <w:rPr>
          <w:lang w:val="en-US"/>
        </w:rPr>
        <w:t>.</w:t>
      </w:r>
    </w:p>
    <w:p w14:paraId="3FD6BDE2" w14:textId="531EB1A6" w:rsidR="00DB40A3" w:rsidRDefault="00A928A5" w:rsidP="00CC548B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</w:pPr>
      <w:r>
        <w:t>The COVID-19 emergency in Queensland remains ongoing and</w:t>
      </w:r>
      <w:r w:rsidR="00E20A0A">
        <w:t xml:space="preserve"> these</w:t>
      </w:r>
      <w:r>
        <w:t xml:space="preserve"> measures are still</w:t>
      </w:r>
      <w:r>
        <w:rPr>
          <w:spacing w:val="-12"/>
        </w:rPr>
        <w:t xml:space="preserve"> </w:t>
      </w:r>
      <w:r>
        <w:t>required.</w:t>
      </w:r>
    </w:p>
    <w:p w14:paraId="468C3F96" w14:textId="1AF00BF5" w:rsidR="00F358CE" w:rsidRDefault="00A601F0" w:rsidP="00CC548B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</w:pPr>
      <w:r>
        <w:rPr>
          <w:sz w:val="23"/>
          <w:szCs w:val="23"/>
        </w:rPr>
        <w:t xml:space="preserve">The </w:t>
      </w:r>
      <w:r w:rsidR="00B02A73">
        <w:t>COVID-19 Emergency Response and Other Legislation Amendment Bill</w:t>
      </w:r>
      <w:r w:rsidR="00B02A73">
        <w:rPr>
          <w:spacing w:val="-13"/>
        </w:rPr>
        <w:t xml:space="preserve"> </w:t>
      </w:r>
      <w:r w:rsidR="00B02A73">
        <w:rPr>
          <w:spacing w:val="2"/>
        </w:rPr>
        <w:t>2021</w:t>
      </w:r>
      <w:r w:rsidR="00A928A5">
        <w:t>:</w:t>
      </w:r>
    </w:p>
    <w:p w14:paraId="468C3F98" w14:textId="288694BF" w:rsidR="00F358CE" w:rsidRDefault="00A928A5" w:rsidP="00CC548B">
      <w:pPr>
        <w:pStyle w:val="ListParagraph"/>
        <w:numPr>
          <w:ilvl w:val="1"/>
          <w:numId w:val="3"/>
        </w:numPr>
        <w:tabs>
          <w:tab w:val="left" w:pos="426"/>
          <w:tab w:val="left" w:pos="1024"/>
        </w:tabs>
        <w:spacing w:before="120"/>
        <w:ind w:left="850" w:right="6" w:hanging="425"/>
        <w:jc w:val="both"/>
      </w:pPr>
      <w:r>
        <w:t>set</w:t>
      </w:r>
      <w:r w:rsidR="006402E7">
        <w:t>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expiration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September</w:t>
      </w:r>
      <w:r>
        <w:rPr>
          <w:spacing w:val="-9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earlier</w:t>
      </w:r>
      <w:r>
        <w:rPr>
          <w:spacing w:val="-7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prescribed by regulat</w:t>
      </w:r>
      <w:r w:rsidR="006402E7">
        <w:t>ion</w:t>
      </w:r>
      <w:r>
        <w:t>;</w:t>
      </w:r>
    </w:p>
    <w:p w14:paraId="468C3F9A" w14:textId="4E052360" w:rsidR="00F358CE" w:rsidRDefault="00A928A5" w:rsidP="00CC548B">
      <w:pPr>
        <w:pStyle w:val="ListParagraph"/>
        <w:numPr>
          <w:ilvl w:val="1"/>
          <w:numId w:val="3"/>
        </w:numPr>
        <w:tabs>
          <w:tab w:val="left" w:pos="426"/>
          <w:tab w:val="left" w:pos="1029"/>
        </w:tabs>
        <w:spacing w:before="120"/>
        <w:ind w:left="850" w:right="6" w:hanging="425"/>
        <w:jc w:val="both"/>
      </w:pPr>
      <w:r>
        <w:t>provide</w:t>
      </w:r>
      <w:r w:rsidR="006402E7">
        <w:t>s</w:t>
      </w:r>
      <w:r>
        <w:t xml:space="preserve"> for COVID-safe measures to apply to local government by-elections and fresh elections</w:t>
      </w:r>
      <w:r>
        <w:rPr>
          <w:spacing w:val="-16"/>
        </w:rPr>
        <w:t xml:space="preserve"> </w:t>
      </w:r>
      <w:r>
        <w:t>called</w:t>
      </w:r>
      <w:r>
        <w:rPr>
          <w:spacing w:val="-16"/>
        </w:rPr>
        <w:t xml:space="preserve"> </w:t>
      </w:r>
      <w:r>
        <w:t>before</w:t>
      </w:r>
      <w:r>
        <w:rPr>
          <w:spacing w:val="-16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proposed</w:t>
      </w:r>
      <w:r>
        <w:rPr>
          <w:spacing w:val="-16"/>
        </w:rPr>
        <w:t xml:space="preserve"> </w:t>
      </w:r>
      <w:r>
        <w:t>‘COVID-19</w:t>
      </w:r>
      <w:r>
        <w:rPr>
          <w:spacing w:val="-16"/>
        </w:rPr>
        <w:t xml:space="preserve"> </w:t>
      </w:r>
      <w:r>
        <w:t>legislation</w:t>
      </w:r>
      <w:r>
        <w:rPr>
          <w:spacing w:val="-16"/>
        </w:rPr>
        <w:t xml:space="preserve"> </w:t>
      </w:r>
      <w:r>
        <w:t>expiry</w:t>
      </w:r>
      <w:r>
        <w:rPr>
          <w:spacing w:val="-17"/>
        </w:rPr>
        <w:t xml:space="preserve"> </w:t>
      </w:r>
      <w:r>
        <w:t>day’</w:t>
      </w:r>
      <w:r>
        <w:rPr>
          <w:spacing w:val="-1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30</w:t>
      </w:r>
      <w:r>
        <w:rPr>
          <w:spacing w:val="-16"/>
        </w:rPr>
        <w:t xml:space="preserve"> </w:t>
      </w:r>
      <w:r>
        <w:t>September 2021, should they be required;</w:t>
      </w:r>
      <w:r>
        <w:rPr>
          <w:spacing w:val="-11"/>
        </w:rPr>
        <w:t xml:space="preserve"> </w:t>
      </w:r>
    </w:p>
    <w:p w14:paraId="53D10A7C" w14:textId="1EDAD637" w:rsidR="003F3DC1" w:rsidRDefault="00A928A5" w:rsidP="00CC548B">
      <w:pPr>
        <w:pStyle w:val="ListParagraph"/>
        <w:numPr>
          <w:ilvl w:val="1"/>
          <w:numId w:val="3"/>
        </w:numPr>
        <w:tabs>
          <w:tab w:val="left" w:pos="426"/>
          <w:tab w:val="left" w:pos="1029"/>
        </w:tabs>
        <w:spacing w:before="120" w:line="238" w:lineRule="auto"/>
        <w:ind w:left="850" w:right="6" w:hanging="425"/>
        <w:jc w:val="both"/>
      </w:pPr>
      <w:r>
        <w:t>extend</w:t>
      </w:r>
      <w:r w:rsidR="006402E7">
        <w:t>s</w:t>
      </w:r>
      <w:r>
        <w:t xml:space="preserve"> existing temporary provisions that were put </w:t>
      </w:r>
      <w:r>
        <w:rPr>
          <w:spacing w:val="-3"/>
        </w:rPr>
        <w:t xml:space="preserve">in </w:t>
      </w:r>
      <w:r>
        <w:t>place to safeguard revenue streams for local governments until 30 June</w:t>
      </w:r>
      <w:r>
        <w:rPr>
          <w:spacing w:val="-12"/>
        </w:rPr>
        <w:t xml:space="preserve"> </w:t>
      </w:r>
      <w:r>
        <w:t>2022</w:t>
      </w:r>
      <w:r w:rsidR="003F3DC1">
        <w:t>; and</w:t>
      </w:r>
    </w:p>
    <w:p w14:paraId="468C3F9C" w14:textId="4C58D179" w:rsidR="00F358CE" w:rsidRDefault="0061478E" w:rsidP="00CC548B">
      <w:pPr>
        <w:pStyle w:val="ListParagraph"/>
        <w:numPr>
          <w:ilvl w:val="1"/>
          <w:numId w:val="3"/>
        </w:numPr>
        <w:tabs>
          <w:tab w:val="left" w:pos="426"/>
          <w:tab w:val="left" w:pos="1029"/>
        </w:tabs>
        <w:spacing w:before="120" w:line="238" w:lineRule="auto"/>
        <w:ind w:left="850" w:right="6" w:hanging="425"/>
        <w:jc w:val="both"/>
      </w:pPr>
      <w:r w:rsidRPr="0061478E">
        <w:t>extend</w:t>
      </w:r>
      <w:r w:rsidR="006402E7">
        <w:t>s</w:t>
      </w:r>
      <w:r w:rsidRPr="0061478E">
        <w:t xml:space="preserve"> the existing temporary provisions for local government meetings to be conducted in COVID-safe ways until the COVID-19 legislation expiry day</w:t>
      </w:r>
      <w:r w:rsidR="00A928A5">
        <w:t>.</w:t>
      </w:r>
    </w:p>
    <w:p w14:paraId="3333B482" w14:textId="3498DEF0" w:rsidR="009B17F6" w:rsidRPr="00B02A73" w:rsidRDefault="009B17F6" w:rsidP="00CC548B">
      <w:pPr>
        <w:pStyle w:val="ListParagraph"/>
        <w:numPr>
          <w:ilvl w:val="0"/>
          <w:numId w:val="2"/>
        </w:numPr>
        <w:tabs>
          <w:tab w:val="left" w:pos="426"/>
        </w:tabs>
        <w:spacing w:before="240"/>
        <w:ind w:left="425" w:right="6" w:hanging="425"/>
        <w:jc w:val="both"/>
      </w:pPr>
      <w:r w:rsidRPr="00B02A73">
        <w:rPr>
          <w:u w:val="single"/>
        </w:rPr>
        <w:t>Cabinet approved</w:t>
      </w:r>
      <w:r w:rsidRPr="00B02A73">
        <w:t xml:space="preserve"> </w:t>
      </w:r>
      <w:r w:rsidR="00E3442B" w:rsidRPr="00B02A73">
        <w:t xml:space="preserve">the introduction of the </w:t>
      </w:r>
      <w:r w:rsidR="00B02A73">
        <w:t>COVID-19 Emergency Response and Other Legislation Amendment Bill</w:t>
      </w:r>
      <w:r w:rsidR="00B02A73">
        <w:rPr>
          <w:spacing w:val="-13"/>
        </w:rPr>
        <w:t xml:space="preserve"> </w:t>
      </w:r>
      <w:r w:rsidR="00B02A73">
        <w:rPr>
          <w:spacing w:val="2"/>
        </w:rPr>
        <w:t xml:space="preserve">2021 </w:t>
      </w:r>
      <w:r w:rsidR="00E3442B" w:rsidRPr="00B02A73">
        <w:t>into the Legislative Assembly.</w:t>
      </w:r>
    </w:p>
    <w:p w14:paraId="468C3F9E" w14:textId="7EC3A8E7" w:rsidR="00F358CE" w:rsidRDefault="00A928A5" w:rsidP="00CC548B">
      <w:pPr>
        <w:pStyle w:val="ListParagraph"/>
        <w:numPr>
          <w:ilvl w:val="0"/>
          <w:numId w:val="2"/>
        </w:numPr>
        <w:tabs>
          <w:tab w:val="left" w:pos="426"/>
        </w:tabs>
        <w:spacing w:before="360"/>
        <w:ind w:left="425" w:right="6" w:hanging="425"/>
        <w:jc w:val="both"/>
      </w:pPr>
      <w:r>
        <w:rPr>
          <w:i/>
          <w:spacing w:val="-5"/>
          <w:u w:val="single"/>
        </w:rPr>
        <w:t>Attachments</w:t>
      </w:r>
    </w:p>
    <w:p w14:paraId="468C3F9F" w14:textId="13AA1FB7" w:rsidR="00F358CE" w:rsidRDefault="003F7B57" w:rsidP="00CC548B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ind w:left="850" w:right="6" w:hanging="425"/>
      </w:pPr>
      <w:hyperlink r:id="rId11" w:history="1">
        <w:r w:rsidR="00A928A5" w:rsidRPr="00CA239B">
          <w:rPr>
            <w:rStyle w:val="Hyperlink"/>
          </w:rPr>
          <w:t>COVID-19 Emergency Response and Other Legislation Amendment Bill</w:t>
        </w:r>
        <w:r w:rsidR="00A928A5" w:rsidRPr="00CA239B">
          <w:rPr>
            <w:rStyle w:val="Hyperlink"/>
            <w:spacing w:val="-13"/>
          </w:rPr>
          <w:t xml:space="preserve"> </w:t>
        </w:r>
        <w:r w:rsidR="00A928A5" w:rsidRPr="00CA239B">
          <w:rPr>
            <w:rStyle w:val="Hyperlink"/>
            <w:spacing w:val="2"/>
          </w:rPr>
          <w:t>2021</w:t>
        </w:r>
      </w:hyperlink>
    </w:p>
    <w:p w14:paraId="468C3FA0" w14:textId="5A004A29" w:rsidR="00F358CE" w:rsidRDefault="003F7B57" w:rsidP="00CC548B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ind w:left="850" w:right="6" w:hanging="425"/>
      </w:pPr>
      <w:hyperlink r:id="rId12" w:history="1">
        <w:r w:rsidR="00A928A5" w:rsidRPr="00CA239B">
          <w:rPr>
            <w:rStyle w:val="Hyperlink"/>
          </w:rPr>
          <w:t>Explanatory Notes</w:t>
        </w:r>
      </w:hyperlink>
    </w:p>
    <w:p w14:paraId="468C3FA1" w14:textId="0DCEE3EA" w:rsidR="00F358CE" w:rsidRDefault="003F7B57" w:rsidP="00CC548B">
      <w:pPr>
        <w:pStyle w:val="ListParagraph"/>
        <w:numPr>
          <w:ilvl w:val="0"/>
          <w:numId w:val="1"/>
        </w:numPr>
        <w:tabs>
          <w:tab w:val="left" w:pos="851"/>
        </w:tabs>
        <w:spacing w:before="120"/>
        <w:ind w:left="850" w:right="6" w:hanging="425"/>
      </w:pPr>
      <w:hyperlink r:id="rId13" w:history="1">
        <w:r w:rsidR="00A928A5" w:rsidRPr="00CA239B">
          <w:rPr>
            <w:rStyle w:val="Hyperlink"/>
          </w:rPr>
          <w:t>Statement of</w:t>
        </w:r>
        <w:r w:rsidR="00A928A5" w:rsidRPr="00CA239B">
          <w:rPr>
            <w:rStyle w:val="Hyperlink"/>
            <w:spacing w:val="-2"/>
          </w:rPr>
          <w:t xml:space="preserve"> </w:t>
        </w:r>
        <w:r w:rsidR="00A928A5" w:rsidRPr="00CA239B">
          <w:rPr>
            <w:rStyle w:val="Hyperlink"/>
          </w:rPr>
          <w:t>Compatibility</w:t>
        </w:r>
      </w:hyperlink>
    </w:p>
    <w:sectPr w:rsidR="00F358CE" w:rsidSect="00CC548B">
      <w:headerReference w:type="default" r:id="rId14"/>
      <w:type w:val="continuous"/>
      <w:pgSz w:w="11910" w:h="16840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142F" w14:textId="77777777" w:rsidR="00426D91" w:rsidRDefault="00426D91" w:rsidP="00EB7069">
      <w:r>
        <w:separator/>
      </w:r>
    </w:p>
  </w:endnote>
  <w:endnote w:type="continuationSeparator" w:id="0">
    <w:p w14:paraId="451EF9CB" w14:textId="77777777" w:rsidR="00426D91" w:rsidRDefault="00426D91" w:rsidP="00EB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2E84" w14:textId="77777777" w:rsidR="00426D91" w:rsidRDefault="00426D91" w:rsidP="00EB7069">
      <w:r>
        <w:separator/>
      </w:r>
    </w:p>
  </w:footnote>
  <w:footnote w:type="continuationSeparator" w:id="0">
    <w:p w14:paraId="3F764F83" w14:textId="77777777" w:rsidR="00426D91" w:rsidRDefault="00426D91" w:rsidP="00EB7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EF80F" w14:textId="77777777" w:rsidR="00EB7069" w:rsidRPr="00937A4A" w:rsidRDefault="00EB7069" w:rsidP="00EB706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b/>
        <w:sz w:val="28"/>
      </w:rPr>
    </w:pPr>
    <w:r w:rsidRPr="00937A4A">
      <w:rPr>
        <w:b/>
        <w:sz w:val="28"/>
      </w:rPr>
      <w:t>Queensland Government</w:t>
    </w:r>
  </w:p>
  <w:p w14:paraId="325EFE57" w14:textId="77777777" w:rsidR="00EB7069" w:rsidRPr="00937A4A" w:rsidRDefault="00EB7069" w:rsidP="00EB706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b/>
        <w:sz w:val="14"/>
        <w:u w:val="single"/>
      </w:rPr>
    </w:pPr>
  </w:p>
  <w:p w14:paraId="01500D80" w14:textId="172264CE" w:rsidR="00EB7069" w:rsidRPr="00937A4A" w:rsidRDefault="00EB7069" w:rsidP="00EB7069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b/>
      </w:rPr>
    </w:pPr>
    <w:r w:rsidRPr="00937A4A">
      <w:rPr>
        <w:b/>
      </w:rPr>
      <w:t xml:space="preserve">Cabinet – </w:t>
    </w:r>
    <w:r w:rsidR="00B56F66">
      <w:rPr>
        <w:b/>
      </w:rPr>
      <w:t>March 2021</w:t>
    </w:r>
  </w:p>
  <w:p w14:paraId="77229C52" w14:textId="170691BD" w:rsidR="00EB7069" w:rsidRDefault="00B56F66" w:rsidP="00EB7069">
    <w:pPr>
      <w:pStyle w:val="Header"/>
      <w:spacing w:before="120"/>
      <w:rPr>
        <w:b/>
        <w:u w:val="single"/>
      </w:rPr>
    </w:pPr>
    <w:r>
      <w:rPr>
        <w:b/>
        <w:u w:val="single"/>
      </w:rPr>
      <w:t>COVID-19 Emergency Response and Other Legislation Amendment Bill 2021</w:t>
    </w:r>
  </w:p>
  <w:p w14:paraId="05D3F82B" w14:textId="0ECC5AAF" w:rsidR="00EB7069" w:rsidRDefault="00B56F66" w:rsidP="00EB7069">
    <w:pPr>
      <w:pStyle w:val="Header"/>
      <w:spacing w:before="120"/>
      <w:rPr>
        <w:b/>
        <w:u w:val="single"/>
      </w:rPr>
    </w:pPr>
    <w:r>
      <w:rPr>
        <w:b/>
        <w:u w:val="single"/>
      </w:rPr>
      <w:t xml:space="preserve">Attorney-General and </w:t>
    </w:r>
    <w:r w:rsidR="00EB7069">
      <w:rPr>
        <w:b/>
        <w:u w:val="single"/>
      </w:rPr>
      <w:t>Minister</w:t>
    </w:r>
    <w:r>
      <w:rPr>
        <w:b/>
        <w:u w:val="single"/>
      </w:rPr>
      <w:t xml:space="preserve"> for Justice, Minister for Women and Minister for the Prevention of Domestic and Family Violence</w:t>
    </w:r>
  </w:p>
  <w:p w14:paraId="2FE44ABC" w14:textId="77777777" w:rsidR="00EB7069" w:rsidRDefault="00EB7069" w:rsidP="00EB7069">
    <w:pPr>
      <w:pStyle w:val="Header"/>
      <w:pBdr>
        <w:bottom w:val="single" w:sz="4" w:space="1" w:color="auto"/>
      </w:pBdr>
    </w:pPr>
  </w:p>
  <w:p w14:paraId="4A6ECFFE" w14:textId="77777777" w:rsidR="00EB7069" w:rsidRDefault="00EB70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EAE"/>
    <w:multiLevelType w:val="hybridMultilevel"/>
    <w:tmpl w:val="3C16928A"/>
    <w:lvl w:ilvl="0" w:tplc="619C2FA2">
      <w:numFmt w:val="bullet"/>
      <w:lvlText w:val=""/>
      <w:lvlJc w:val="left"/>
      <w:pPr>
        <w:ind w:left="2296" w:hanging="360"/>
      </w:pPr>
      <w:rPr>
        <w:rFonts w:ascii="Symbol" w:eastAsia="Symbol" w:hAnsi="Symbol" w:cs="Symbol" w:hint="default"/>
        <w:w w:val="100"/>
        <w:sz w:val="22"/>
        <w:szCs w:val="22"/>
        <w:lang w:val="en-AU" w:eastAsia="en-US" w:bidi="ar-SA"/>
      </w:rPr>
    </w:lvl>
    <w:lvl w:ilvl="1" w:tplc="CD222FAE">
      <w:numFmt w:val="bullet"/>
      <w:lvlText w:val="•"/>
      <w:lvlJc w:val="left"/>
      <w:pPr>
        <w:ind w:left="3156" w:hanging="360"/>
      </w:pPr>
      <w:rPr>
        <w:rFonts w:hint="default"/>
        <w:lang w:val="en-AU" w:eastAsia="en-US" w:bidi="ar-SA"/>
      </w:rPr>
    </w:lvl>
    <w:lvl w:ilvl="2" w:tplc="8294073C">
      <w:numFmt w:val="bullet"/>
      <w:lvlText w:val="•"/>
      <w:lvlJc w:val="left"/>
      <w:pPr>
        <w:ind w:left="4014" w:hanging="360"/>
      </w:pPr>
      <w:rPr>
        <w:rFonts w:hint="default"/>
        <w:lang w:val="en-AU" w:eastAsia="en-US" w:bidi="ar-SA"/>
      </w:rPr>
    </w:lvl>
    <w:lvl w:ilvl="3" w:tplc="EA6E0186">
      <w:numFmt w:val="bullet"/>
      <w:lvlText w:val="•"/>
      <w:lvlJc w:val="left"/>
      <w:pPr>
        <w:ind w:left="4873" w:hanging="360"/>
      </w:pPr>
      <w:rPr>
        <w:rFonts w:hint="default"/>
        <w:lang w:val="en-AU" w:eastAsia="en-US" w:bidi="ar-SA"/>
      </w:rPr>
    </w:lvl>
    <w:lvl w:ilvl="4" w:tplc="D7AEAAAE">
      <w:numFmt w:val="bullet"/>
      <w:lvlText w:val="•"/>
      <w:lvlJc w:val="left"/>
      <w:pPr>
        <w:ind w:left="5731" w:hanging="360"/>
      </w:pPr>
      <w:rPr>
        <w:rFonts w:hint="default"/>
        <w:lang w:val="en-AU" w:eastAsia="en-US" w:bidi="ar-SA"/>
      </w:rPr>
    </w:lvl>
    <w:lvl w:ilvl="5" w:tplc="7ABE5FFA">
      <w:numFmt w:val="bullet"/>
      <w:lvlText w:val="•"/>
      <w:lvlJc w:val="left"/>
      <w:pPr>
        <w:ind w:left="6590" w:hanging="360"/>
      </w:pPr>
      <w:rPr>
        <w:rFonts w:hint="default"/>
        <w:lang w:val="en-AU" w:eastAsia="en-US" w:bidi="ar-SA"/>
      </w:rPr>
    </w:lvl>
    <w:lvl w:ilvl="6" w:tplc="5E8EE72A">
      <w:numFmt w:val="bullet"/>
      <w:lvlText w:val="•"/>
      <w:lvlJc w:val="left"/>
      <w:pPr>
        <w:ind w:left="7448" w:hanging="360"/>
      </w:pPr>
      <w:rPr>
        <w:rFonts w:hint="default"/>
        <w:lang w:val="en-AU" w:eastAsia="en-US" w:bidi="ar-SA"/>
      </w:rPr>
    </w:lvl>
    <w:lvl w:ilvl="7" w:tplc="D6226780">
      <w:numFmt w:val="bullet"/>
      <w:lvlText w:val="•"/>
      <w:lvlJc w:val="left"/>
      <w:pPr>
        <w:ind w:left="8306" w:hanging="360"/>
      </w:pPr>
      <w:rPr>
        <w:rFonts w:hint="default"/>
        <w:lang w:val="en-AU" w:eastAsia="en-US" w:bidi="ar-SA"/>
      </w:rPr>
    </w:lvl>
    <w:lvl w:ilvl="8" w:tplc="0E146E86">
      <w:numFmt w:val="bullet"/>
      <w:lvlText w:val="•"/>
      <w:lvlJc w:val="left"/>
      <w:pPr>
        <w:ind w:left="9165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3501224F"/>
    <w:multiLevelType w:val="hybridMultilevel"/>
    <w:tmpl w:val="B2643334"/>
    <w:lvl w:ilvl="0" w:tplc="C4349524">
      <w:start w:val="1"/>
      <w:numFmt w:val="decimal"/>
      <w:lvlText w:val="%1."/>
      <w:lvlJc w:val="left"/>
      <w:pPr>
        <w:ind w:left="668" w:hanging="361"/>
      </w:pPr>
      <w:rPr>
        <w:rFonts w:hint="default"/>
        <w:spacing w:val="0"/>
        <w:w w:val="100"/>
        <w:lang w:val="en-AU" w:eastAsia="en-US" w:bidi="ar-SA"/>
      </w:rPr>
    </w:lvl>
    <w:lvl w:ilvl="1" w:tplc="055E44EA">
      <w:start w:val="1"/>
      <w:numFmt w:val="lowerLetter"/>
      <w:lvlText w:val="(%2)"/>
      <w:lvlJc w:val="left"/>
      <w:pPr>
        <w:ind w:left="102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US" w:bidi="ar-SA"/>
      </w:rPr>
    </w:lvl>
    <w:lvl w:ilvl="2" w:tplc="4F3897AA">
      <w:numFmt w:val="bullet"/>
      <w:lvlText w:val="•"/>
      <w:lvlJc w:val="left"/>
      <w:pPr>
        <w:ind w:left="1973" w:hanging="360"/>
      </w:pPr>
      <w:rPr>
        <w:rFonts w:hint="default"/>
        <w:lang w:val="en-AU" w:eastAsia="en-US" w:bidi="ar-SA"/>
      </w:rPr>
    </w:lvl>
    <w:lvl w:ilvl="3" w:tplc="E842B31A">
      <w:numFmt w:val="bullet"/>
      <w:lvlText w:val="•"/>
      <w:lvlJc w:val="left"/>
      <w:pPr>
        <w:ind w:left="2927" w:hanging="360"/>
      </w:pPr>
      <w:rPr>
        <w:rFonts w:hint="default"/>
        <w:lang w:val="en-AU" w:eastAsia="en-US" w:bidi="ar-SA"/>
      </w:rPr>
    </w:lvl>
    <w:lvl w:ilvl="4" w:tplc="A072A3CA">
      <w:numFmt w:val="bullet"/>
      <w:lvlText w:val="•"/>
      <w:lvlJc w:val="left"/>
      <w:pPr>
        <w:ind w:left="3881" w:hanging="360"/>
      </w:pPr>
      <w:rPr>
        <w:rFonts w:hint="default"/>
        <w:lang w:val="en-AU" w:eastAsia="en-US" w:bidi="ar-SA"/>
      </w:rPr>
    </w:lvl>
    <w:lvl w:ilvl="5" w:tplc="E6D4F994">
      <w:numFmt w:val="bullet"/>
      <w:lvlText w:val="•"/>
      <w:lvlJc w:val="left"/>
      <w:pPr>
        <w:ind w:left="4835" w:hanging="360"/>
      </w:pPr>
      <w:rPr>
        <w:rFonts w:hint="default"/>
        <w:lang w:val="en-AU" w:eastAsia="en-US" w:bidi="ar-SA"/>
      </w:rPr>
    </w:lvl>
    <w:lvl w:ilvl="6" w:tplc="455E8AE6">
      <w:numFmt w:val="bullet"/>
      <w:lvlText w:val="•"/>
      <w:lvlJc w:val="left"/>
      <w:pPr>
        <w:ind w:left="5788" w:hanging="360"/>
      </w:pPr>
      <w:rPr>
        <w:rFonts w:hint="default"/>
        <w:lang w:val="en-AU" w:eastAsia="en-US" w:bidi="ar-SA"/>
      </w:rPr>
    </w:lvl>
    <w:lvl w:ilvl="7" w:tplc="198EB5F6">
      <w:numFmt w:val="bullet"/>
      <w:lvlText w:val="•"/>
      <w:lvlJc w:val="left"/>
      <w:pPr>
        <w:ind w:left="6742" w:hanging="360"/>
      </w:pPr>
      <w:rPr>
        <w:rFonts w:hint="default"/>
        <w:lang w:val="en-AU" w:eastAsia="en-US" w:bidi="ar-SA"/>
      </w:rPr>
    </w:lvl>
    <w:lvl w:ilvl="8" w:tplc="0E5C4A96">
      <w:numFmt w:val="bullet"/>
      <w:lvlText w:val="•"/>
      <w:lvlJc w:val="left"/>
      <w:pPr>
        <w:ind w:left="7696" w:hanging="360"/>
      </w:pPr>
      <w:rPr>
        <w:rFonts w:hint="default"/>
        <w:lang w:val="en-AU" w:eastAsia="en-US" w:bidi="ar-SA"/>
      </w:rPr>
    </w:lvl>
  </w:abstractNum>
  <w:abstractNum w:abstractNumId="2" w15:restartNumberingAfterBreak="0">
    <w:nsid w:val="676606EE"/>
    <w:multiLevelType w:val="hybridMultilevel"/>
    <w:tmpl w:val="B2643334"/>
    <w:lvl w:ilvl="0" w:tplc="C4349524">
      <w:start w:val="1"/>
      <w:numFmt w:val="decimal"/>
      <w:lvlText w:val="%1."/>
      <w:lvlJc w:val="left"/>
      <w:pPr>
        <w:ind w:left="668" w:hanging="361"/>
      </w:pPr>
      <w:rPr>
        <w:rFonts w:hint="default"/>
        <w:spacing w:val="0"/>
        <w:w w:val="100"/>
        <w:lang w:val="en-AU" w:eastAsia="en-US" w:bidi="ar-SA"/>
      </w:rPr>
    </w:lvl>
    <w:lvl w:ilvl="1" w:tplc="055E44EA">
      <w:start w:val="1"/>
      <w:numFmt w:val="lowerLetter"/>
      <w:lvlText w:val="(%2)"/>
      <w:lvlJc w:val="left"/>
      <w:pPr>
        <w:ind w:left="1023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en-AU" w:eastAsia="en-US" w:bidi="ar-SA"/>
      </w:rPr>
    </w:lvl>
    <w:lvl w:ilvl="2" w:tplc="4F3897AA">
      <w:numFmt w:val="bullet"/>
      <w:lvlText w:val="•"/>
      <w:lvlJc w:val="left"/>
      <w:pPr>
        <w:ind w:left="1973" w:hanging="360"/>
      </w:pPr>
      <w:rPr>
        <w:rFonts w:hint="default"/>
        <w:lang w:val="en-AU" w:eastAsia="en-US" w:bidi="ar-SA"/>
      </w:rPr>
    </w:lvl>
    <w:lvl w:ilvl="3" w:tplc="E842B31A">
      <w:numFmt w:val="bullet"/>
      <w:lvlText w:val="•"/>
      <w:lvlJc w:val="left"/>
      <w:pPr>
        <w:ind w:left="2927" w:hanging="360"/>
      </w:pPr>
      <w:rPr>
        <w:rFonts w:hint="default"/>
        <w:lang w:val="en-AU" w:eastAsia="en-US" w:bidi="ar-SA"/>
      </w:rPr>
    </w:lvl>
    <w:lvl w:ilvl="4" w:tplc="A072A3CA">
      <w:numFmt w:val="bullet"/>
      <w:lvlText w:val="•"/>
      <w:lvlJc w:val="left"/>
      <w:pPr>
        <w:ind w:left="3881" w:hanging="360"/>
      </w:pPr>
      <w:rPr>
        <w:rFonts w:hint="default"/>
        <w:lang w:val="en-AU" w:eastAsia="en-US" w:bidi="ar-SA"/>
      </w:rPr>
    </w:lvl>
    <w:lvl w:ilvl="5" w:tplc="E6D4F994">
      <w:numFmt w:val="bullet"/>
      <w:lvlText w:val="•"/>
      <w:lvlJc w:val="left"/>
      <w:pPr>
        <w:ind w:left="4835" w:hanging="360"/>
      </w:pPr>
      <w:rPr>
        <w:rFonts w:hint="default"/>
        <w:lang w:val="en-AU" w:eastAsia="en-US" w:bidi="ar-SA"/>
      </w:rPr>
    </w:lvl>
    <w:lvl w:ilvl="6" w:tplc="455E8AE6">
      <w:numFmt w:val="bullet"/>
      <w:lvlText w:val="•"/>
      <w:lvlJc w:val="left"/>
      <w:pPr>
        <w:ind w:left="5788" w:hanging="360"/>
      </w:pPr>
      <w:rPr>
        <w:rFonts w:hint="default"/>
        <w:lang w:val="en-AU" w:eastAsia="en-US" w:bidi="ar-SA"/>
      </w:rPr>
    </w:lvl>
    <w:lvl w:ilvl="7" w:tplc="198EB5F6">
      <w:numFmt w:val="bullet"/>
      <w:lvlText w:val="•"/>
      <w:lvlJc w:val="left"/>
      <w:pPr>
        <w:ind w:left="6742" w:hanging="360"/>
      </w:pPr>
      <w:rPr>
        <w:rFonts w:hint="default"/>
        <w:lang w:val="en-AU" w:eastAsia="en-US" w:bidi="ar-SA"/>
      </w:rPr>
    </w:lvl>
    <w:lvl w:ilvl="8" w:tplc="0E5C4A96">
      <w:numFmt w:val="bullet"/>
      <w:lvlText w:val="•"/>
      <w:lvlJc w:val="left"/>
      <w:pPr>
        <w:ind w:left="7696" w:hanging="360"/>
      </w:pPr>
      <w:rPr>
        <w:rFonts w:hint="default"/>
        <w:lang w:val="en-A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CE"/>
    <w:rsid w:val="000054F8"/>
    <w:rsid w:val="001276B3"/>
    <w:rsid w:val="001E3F95"/>
    <w:rsid w:val="00252EFF"/>
    <w:rsid w:val="003F3DC1"/>
    <w:rsid w:val="003F4092"/>
    <w:rsid w:val="003F7B57"/>
    <w:rsid w:val="00426D91"/>
    <w:rsid w:val="00471535"/>
    <w:rsid w:val="00520F77"/>
    <w:rsid w:val="0061478E"/>
    <w:rsid w:val="00640168"/>
    <w:rsid w:val="006402E7"/>
    <w:rsid w:val="006A044A"/>
    <w:rsid w:val="007062B7"/>
    <w:rsid w:val="007D0704"/>
    <w:rsid w:val="008B1A6E"/>
    <w:rsid w:val="009A6A8A"/>
    <w:rsid w:val="009B17F6"/>
    <w:rsid w:val="00A1697F"/>
    <w:rsid w:val="00A601F0"/>
    <w:rsid w:val="00A928A5"/>
    <w:rsid w:val="00B02A73"/>
    <w:rsid w:val="00B10830"/>
    <w:rsid w:val="00B56F66"/>
    <w:rsid w:val="00BA78D3"/>
    <w:rsid w:val="00CA239B"/>
    <w:rsid w:val="00CC0C95"/>
    <w:rsid w:val="00CC548B"/>
    <w:rsid w:val="00DB40A3"/>
    <w:rsid w:val="00DD6C86"/>
    <w:rsid w:val="00E20A0A"/>
    <w:rsid w:val="00E3442B"/>
    <w:rsid w:val="00EB7069"/>
    <w:rsid w:val="00F358CE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C3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663" w:hanging="356"/>
    </w:pPr>
    <w:rPr>
      <w:i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1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8B1A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B7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069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B7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069"/>
    <w:rPr>
      <w:rFonts w:ascii="Arial" w:eastAsia="Arial" w:hAnsi="Arial" w:cs="Arial"/>
      <w:lang w:val="en-AU"/>
    </w:rPr>
  </w:style>
  <w:style w:type="character" w:styleId="Hyperlink">
    <w:name w:val="Hyperlink"/>
    <w:basedOn w:val="DefaultParagraphFont"/>
    <w:uiPriority w:val="99"/>
    <w:unhideWhenUsed/>
    <w:rsid w:val="00CA23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ttachments/SoC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ttachments/ExNote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ttachments/Bill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807618-EC42-4364-8E9E-B5650A4463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260C6C1-A6D4-4BC3-9D41-BAD4817FA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20A81-D3BB-4427-99C6-54CA51FE0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C3EA05-55FA-4B82-8B3C-A7CB7D5639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1343</Characters>
  <Application>Microsoft Office Word</Application>
  <DocSecurity>0</DocSecurity>
  <Lines>23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Proactive Release Summary</vt:lpstr>
    </vt:vector>
  </TitlesOfParts>
  <Company/>
  <LinksUpToDate>false</LinksUpToDate>
  <CharactersWithSpaces>1569</CharactersWithSpaces>
  <SharedDoc>false</SharedDoc>
  <HyperlinkBase>https://www.cabinet.qld.gov.au/documents/2021/Mar/COVID EROLAB 2021/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Proactive Release Summary</dc:title>
  <dc:creator/>
  <cp:lastModifiedBy/>
  <cp:revision>11</cp:revision>
  <dcterms:created xsi:type="dcterms:W3CDTF">2021-09-16T07:50:00Z</dcterms:created>
  <dcterms:modified xsi:type="dcterms:W3CDTF">2021-11-26T04:46:00Z</dcterms:modified>
  <cp:category>covid-19,Regulation,Legislation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2021-03-08T00:00:00Z</vt:filetime>
  </property>
  <property fmtid="{D5CDD505-2E9C-101B-9397-08002B2CF9AE}" pid="5" name="ContentTypeId">
    <vt:lpwstr>0x010100DDE14CFDD070B24F85F5DE43654FF01E</vt:lpwstr>
  </property>
</Properties>
</file>